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BC947">
      <w:pPr>
        <w:spacing w:line="400" w:lineRule="exact"/>
        <w:rPr>
          <w:rFonts w:ascii="黑体" w:hAnsi="黑体" w:eastAsia="黑体"/>
          <w:bCs/>
          <w:szCs w:val="21"/>
        </w:rPr>
      </w:pPr>
      <w:bookmarkStart w:id="0" w:name="_GoBack"/>
      <w:bookmarkEnd w:id="0"/>
    </w:p>
    <w:p w14:paraId="5A4D88FE">
      <w:pPr>
        <w:spacing w:before="217" w:beforeLines="50" w:after="217" w:afterLines="50" w:line="400" w:lineRule="exact"/>
        <w:jc w:val="center"/>
        <w:rPr>
          <w:rFonts w:ascii="华文中宋" w:hAnsi="华文中宋" w:eastAsia="华文中宋" w:cs="华文中宋"/>
          <w:bCs/>
          <w:szCs w:val="21"/>
        </w:rPr>
      </w:pPr>
      <w:r>
        <w:rPr>
          <w:rFonts w:hint="eastAsia" w:ascii="华文中宋" w:hAnsi="华文中宋" w:eastAsia="华文中宋" w:cs="华文中宋"/>
          <w:b/>
          <w:sz w:val="36"/>
          <w:szCs w:val="21"/>
        </w:rPr>
        <w:t>2026年度湖北省自然科学奖公示信息</w:t>
      </w:r>
    </w:p>
    <w:tbl>
      <w:tblPr>
        <w:tblStyle w:val="9"/>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5"/>
        <w:gridCol w:w="2037"/>
        <w:gridCol w:w="1679"/>
        <w:gridCol w:w="1200"/>
        <w:gridCol w:w="1140"/>
        <w:gridCol w:w="1185"/>
        <w:gridCol w:w="1185"/>
        <w:gridCol w:w="1095"/>
        <w:gridCol w:w="1245"/>
        <w:gridCol w:w="960"/>
        <w:gridCol w:w="1215"/>
      </w:tblGrid>
      <w:tr w14:paraId="760B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702" w:type="dxa"/>
            <w:gridSpan w:val="2"/>
            <w:vAlign w:val="center"/>
          </w:tcPr>
          <w:p w14:paraId="068DF879">
            <w:pPr>
              <w:spacing w:line="240" w:lineRule="exact"/>
              <w:jc w:val="center"/>
              <w:rPr>
                <w:rFonts w:ascii="黑体" w:hAnsi="黑体" w:eastAsia="黑体" w:cs="黑体"/>
                <w:sz w:val="22"/>
              </w:rPr>
            </w:pPr>
            <w:r>
              <w:rPr>
                <w:rFonts w:hint="eastAsia" w:ascii="黑体" w:hAnsi="黑体" w:eastAsia="黑体" w:cs="黑体"/>
                <w:sz w:val="22"/>
              </w:rPr>
              <w:t>项目名称</w:t>
            </w:r>
          </w:p>
        </w:tc>
        <w:tc>
          <w:tcPr>
            <w:tcW w:w="10904" w:type="dxa"/>
            <w:gridSpan w:val="9"/>
            <w:vAlign w:val="center"/>
          </w:tcPr>
          <w:p w14:paraId="21F1556C">
            <w:pPr>
              <w:spacing w:line="240" w:lineRule="exact"/>
              <w:jc w:val="center"/>
              <w:rPr>
                <w:rFonts w:ascii="宋体" w:hAnsi="宋体" w:eastAsia="宋体" w:cs="宋体"/>
                <w:sz w:val="22"/>
              </w:rPr>
            </w:pPr>
            <w:r>
              <w:rPr>
                <w:rFonts w:hint="eastAsia" w:ascii="宋体" w:hAnsi="宋体" w:eastAsia="宋体" w:cs="宋体"/>
                <w:sz w:val="22"/>
              </w:rPr>
              <w:t>复杂场景图像结构拓扑表征理论与解析方法</w:t>
            </w:r>
          </w:p>
        </w:tc>
      </w:tr>
      <w:tr w14:paraId="1261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702" w:type="dxa"/>
            <w:gridSpan w:val="2"/>
            <w:vAlign w:val="center"/>
          </w:tcPr>
          <w:p w14:paraId="129CC80B">
            <w:pPr>
              <w:spacing w:line="240" w:lineRule="exact"/>
              <w:jc w:val="center"/>
              <w:rPr>
                <w:rFonts w:ascii="黑体" w:hAnsi="黑体" w:eastAsia="黑体" w:cs="黑体"/>
                <w:sz w:val="22"/>
              </w:rPr>
            </w:pPr>
            <w:r>
              <w:rPr>
                <w:rFonts w:hint="eastAsia" w:ascii="黑体" w:hAnsi="黑体" w:eastAsia="黑体" w:cs="黑体"/>
                <w:sz w:val="22"/>
              </w:rPr>
              <w:t>提名单位</w:t>
            </w:r>
          </w:p>
        </w:tc>
        <w:tc>
          <w:tcPr>
            <w:tcW w:w="10904" w:type="dxa"/>
            <w:gridSpan w:val="9"/>
            <w:vAlign w:val="center"/>
          </w:tcPr>
          <w:p w14:paraId="743E1347">
            <w:pPr>
              <w:spacing w:line="240" w:lineRule="exact"/>
              <w:jc w:val="center"/>
              <w:rPr>
                <w:rFonts w:ascii="黑体" w:hAnsi="黑体" w:eastAsia="黑体" w:cs="黑体"/>
                <w:sz w:val="22"/>
              </w:rPr>
            </w:pPr>
            <w:r>
              <w:rPr>
                <w:rFonts w:hint="eastAsia" w:ascii="黑体" w:hAnsi="黑体" w:eastAsia="黑体" w:cs="黑体"/>
                <w:sz w:val="22"/>
              </w:rPr>
              <w:t>武汉大学</w:t>
            </w:r>
          </w:p>
        </w:tc>
      </w:tr>
      <w:tr w14:paraId="7381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jc w:val="center"/>
        </w:trPr>
        <w:tc>
          <w:tcPr>
            <w:tcW w:w="2702" w:type="dxa"/>
            <w:gridSpan w:val="2"/>
            <w:vAlign w:val="center"/>
          </w:tcPr>
          <w:p w14:paraId="664DCE5A">
            <w:pPr>
              <w:spacing w:line="240" w:lineRule="exact"/>
              <w:jc w:val="center"/>
              <w:rPr>
                <w:rFonts w:ascii="黑体" w:hAnsi="黑体" w:eastAsia="黑体" w:cs="黑体"/>
                <w:sz w:val="22"/>
              </w:rPr>
            </w:pPr>
            <w:r>
              <w:rPr>
                <w:rFonts w:hint="eastAsia" w:ascii="黑体" w:hAnsi="黑体" w:eastAsia="黑体" w:cs="黑体"/>
                <w:sz w:val="22"/>
              </w:rPr>
              <w:t>提名意见</w:t>
            </w:r>
          </w:p>
        </w:tc>
        <w:tc>
          <w:tcPr>
            <w:tcW w:w="10904" w:type="dxa"/>
            <w:gridSpan w:val="9"/>
            <w:vAlign w:val="center"/>
          </w:tcPr>
          <w:p w14:paraId="6879E850">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项目围绕复杂场景图像结构表征与高效解析等亟待突破的关键理论技术问题，提出了多尺度融合的图像质量增强方法，构建了基于色彩和几何空间中相对偏序关系和几何位置关系的图像区域空间结构拓扑表征理论和建模方法，解决了图像结构自适应表征难题；提出了区域空间拓扑结构化引导的色彩自适应图像解析方法，缓解了色彩分布差异、弱边界和弱对比度带来的图像解析难题；提出了区域空间拓扑结构约束的几何特征学习与目标自适应解析方法，实现了多尺度、多方向和多形态目标的高效精准解析。形成了面向复杂场景的图像结构拓扑表征理论和解析方法体系，为光照受限和异源图像解析、多形态目标识别提供了基础理论和关键技术支撑。</w:t>
            </w:r>
          </w:p>
          <w:p w14:paraId="5A8F115F">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 xml:space="preserve">项目成果被国家计算机视觉标准库OpenCV、清华计图、华为云和阿里云等平台集成，应用于北京航天飞行控制中心，中国载人航天数据中心、西安飞行自动控制研究所、华为、 泰康保险和阿里巴巴等单位的关键业务系统，用于航空航天、安全应急、生命健康、文明传承等国家重要工程，取得了显著的应用效果。 </w:t>
            </w:r>
          </w:p>
          <w:p w14:paraId="29DF252E">
            <w:pPr>
              <w:spacing w:line="240" w:lineRule="exact"/>
              <w:ind w:firstLine="420" w:firstLineChars="200"/>
              <w:jc w:val="both"/>
              <w:rPr>
                <w:rFonts w:ascii="黑体" w:hAnsi="黑体" w:eastAsia="黑体" w:cs="黑体"/>
                <w:bCs/>
                <w:color w:val="000000"/>
                <w:sz w:val="21"/>
                <w:szCs w:val="21"/>
                <w:lang w:bidi="ar"/>
              </w:rPr>
            </w:pPr>
            <w:r>
              <w:rPr>
                <w:rFonts w:hint="eastAsia" w:ascii="黑体" w:hAnsi="黑体" w:eastAsia="黑体" w:cs="黑体"/>
                <w:color w:val="000000" w:themeColor="text1"/>
                <w:sz w:val="21"/>
                <w:szCs w:val="21"/>
                <w14:textFill>
                  <w14:solidFill>
                    <w14:schemeClr w14:val="tx1"/>
                  </w14:solidFill>
                </w14:textFill>
              </w:rPr>
              <w:t>项目核心成果发表 Nature 子刊和IEEE汇刊论文35篇、CVPR/ICCV/ECCV 等顶会论文16篇，获 IEEE 汇刊 最佳论文奖、PRICAI 2024 最佳学生论文奖，CVPR 和 ECCV 等学术竞赛冠军。项目5篇代表性论著分别发表在国际人工智能顶刊IEEE TPAMI、国际计算机视觉顶会CVPR、国际图像信号处理顶刊IEEE TIP，及国内信息科学顶刊SCIS上，其中1篇TPAMI论文自发表以来连续3年入选ESI热点论文，连续5年入选ESI高被引论文；累计被27 位中国/欧美科学院院士和 152 位 IEEE/IAPR/ACM Fellow 等学者团队在IEEE TPAMI等期刊上正面评价，累计谷歌学术引用 2254 次、WOS 引用 1573次。</w:t>
            </w:r>
            <w:r>
              <w:rPr>
                <w:rFonts w:hint="eastAsia" w:ascii="黑体" w:hAnsi="黑体" w:eastAsia="黑体" w:cs="黑体"/>
                <w:color w:val="000000" w:themeColor="text1"/>
                <w:spacing w:val="2"/>
                <w:sz w:val="21"/>
                <w:szCs w:val="21"/>
                <w:lang w:bidi="ar"/>
                <w14:textFill>
                  <w14:solidFill>
                    <w14:schemeClr w14:val="tx1"/>
                  </w14:solidFill>
                </w14:textFill>
              </w:rPr>
              <w:t xml:space="preserve"> </w:t>
            </w:r>
          </w:p>
        </w:tc>
      </w:tr>
      <w:tr w14:paraId="6242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0" w:hRule="atLeast"/>
          <w:jc w:val="center"/>
        </w:trPr>
        <w:tc>
          <w:tcPr>
            <w:tcW w:w="2702" w:type="dxa"/>
            <w:gridSpan w:val="2"/>
            <w:vAlign w:val="center"/>
          </w:tcPr>
          <w:p w14:paraId="0DC34303">
            <w:pPr>
              <w:spacing w:line="240" w:lineRule="exact"/>
              <w:jc w:val="center"/>
              <w:rPr>
                <w:rFonts w:ascii="黑体" w:hAnsi="黑体" w:eastAsia="黑体" w:cs="黑体"/>
                <w:sz w:val="22"/>
              </w:rPr>
            </w:pPr>
            <w:r>
              <w:rPr>
                <w:rFonts w:hint="eastAsia" w:ascii="黑体" w:hAnsi="黑体" w:eastAsia="黑体" w:cs="黑体"/>
                <w:sz w:val="22"/>
              </w:rPr>
              <w:t>项目简介</w:t>
            </w:r>
          </w:p>
        </w:tc>
        <w:tc>
          <w:tcPr>
            <w:tcW w:w="10904" w:type="dxa"/>
            <w:gridSpan w:val="9"/>
            <w:vAlign w:val="center"/>
          </w:tcPr>
          <w:p w14:paraId="51D86160">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本项目属于信息技术领域的应用基础研究。</w:t>
            </w:r>
          </w:p>
          <w:p w14:paraId="17014355">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随着图像/视频在国防、航空航天、医疗等领域的深入应用，其高效解析已成为图像处理与人工智能的核心前沿与关键难题。在复杂场景中，成像环境多变、条件不理想、场景内容复杂，导致图像色彩分布和风格变化大、目标结构不明显、尺度和形态变化大。现有以深度学习为代表的图像解析模型主要基于独立像素点表征，将独立像素点集合作为整体输入，虽取得了诸多突破，但对千变万化的复杂场景适应性差，限制了图像解析在航空航天和生命健康等领域的大规模应用。如何突破复杂场景图像结构的本征表征难题，实现高效解析，是图像理解的核心科学难题，属国家重大需求。</w:t>
            </w:r>
          </w:p>
          <w:p w14:paraId="34BD126D">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针对上述难题，项目团队在国家自然科学基金优秀青年基金和联合重点基金等项目的支持下，从图像增强与图像结构拓扑表征建模理论、拓扑结构引导的色彩自适应图像解析和拓扑结构约束的多形态目标解析方法入手，系统地建立复杂场景图像结构拓扑表征理论与解析方法体系。主要创新点包括：</w:t>
            </w:r>
          </w:p>
          <w:p w14:paraId="2F00C043">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(1)</w:t>
            </w:r>
            <w:r>
              <w:rPr>
                <w:rFonts w:hint="eastAsia" w:ascii="黑体" w:hAnsi="黑体" w:eastAsia="黑体" w:cs="黑体"/>
                <w:color w:val="000000" w:themeColor="text1"/>
                <w:sz w:val="21"/>
                <w:szCs w:val="21"/>
                <w14:textFill>
                  <w14:solidFill>
                    <w14:schemeClr w14:val="tx1"/>
                  </w14:solidFill>
                </w14:textFill>
              </w:rPr>
              <w:tab/>
            </w:r>
            <w:r>
              <w:rPr>
                <w:rFonts w:hint="eastAsia" w:ascii="黑体" w:hAnsi="黑体" w:eastAsia="黑体" w:cs="黑体"/>
                <w:color w:val="000000" w:themeColor="text1"/>
                <w:sz w:val="21"/>
                <w:szCs w:val="21"/>
                <w14:textFill>
                  <w14:solidFill>
                    <w14:schemeClr w14:val="tx1"/>
                  </w14:solidFill>
                </w14:textFill>
              </w:rPr>
              <w:t>探明了图像质量、色彩分布和几何外观等特性，提出了多尺度融合的图像质量增强方法，构建了基于色彩和几何空间中相对偏序关系和几何位置关系的图像区域空间结构拓扑表征理论和建模方法，解决了图像结构自适应表征难题，奠定了复杂场景图像解析基础。被国际知名学者评价为“新颖的”、“取得卓越成功”、“具有对递增对比度不变特性，强化了网络学习到更具区分性特征”。</w:t>
            </w:r>
          </w:p>
          <w:p w14:paraId="01755C4E">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(2)</w:t>
            </w:r>
            <w:r>
              <w:rPr>
                <w:rFonts w:hint="eastAsia" w:ascii="黑体" w:hAnsi="黑体" w:eastAsia="黑体" w:cs="黑体"/>
                <w:color w:val="000000" w:themeColor="text1"/>
                <w:sz w:val="21"/>
                <w:szCs w:val="21"/>
                <w14:textFill>
                  <w14:solidFill>
                    <w14:schemeClr w14:val="tx1"/>
                  </w14:solidFill>
                </w14:textFill>
              </w:rPr>
              <w:tab/>
            </w:r>
            <w:r>
              <w:rPr>
                <w:rFonts w:hint="eastAsia" w:ascii="黑体" w:hAnsi="黑体" w:eastAsia="黑体" w:cs="黑体"/>
                <w:color w:val="000000" w:themeColor="text1"/>
                <w:sz w:val="21"/>
                <w:szCs w:val="21"/>
                <w14:textFill>
                  <w14:solidFill>
                    <w14:schemeClr w14:val="tx1"/>
                  </w14:solidFill>
                </w14:textFill>
              </w:rPr>
              <w:t>揭示了弱对比和色彩分布变化下的稳定结构拓扑表征机制，提出了区域空间拓扑结构化引导的色彩自适应图像解析方法，缓解了色彩分布差异、弱边界和弱对比度带来的图像解析难题，显著提升了光照受限和色彩变化下图像解析性能和泛化能力；提出的算法被国际计算机视觉标准库OpenCV和华为云集成，将弱光照下关键特征区域提取能力提升了50倍以上。被国际知名学者评价为“唯一已知展现出可惜结果的方法，显著超过其他方法”</w:t>
            </w:r>
          </w:p>
          <w:p w14:paraId="1F8FA491">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(3)</w:t>
            </w:r>
            <w:r>
              <w:rPr>
                <w:rFonts w:hint="eastAsia" w:ascii="黑体" w:hAnsi="黑体" w:eastAsia="黑体" w:cs="黑体"/>
                <w:color w:val="000000" w:themeColor="text1"/>
                <w:sz w:val="21"/>
                <w:szCs w:val="21"/>
                <w14:textFill>
                  <w14:solidFill>
                    <w14:schemeClr w14:val="tx1"/>
                  </w14:solidFill>
                </w14:textFill>
              </w:rPr>
              <w:tab/>
            </w:r>
            <w:r>
              <w:rPr>
                <w:rFonts w:hint="eastAsia" w:ascii="黑体" w:hAnsi="黑体" w:eastAsia="黑体" w:cs="黑体"/>
                <w:color w:val="000000" w:themeColor="text1"/>
                <w:sz w:val="21"/>
                <w:szCs w:val="21"/>
                <w14:textFill>
                  <w14:solidFill>
                    <w14:schemeClr w14:val="tx1"/>
                  </w14:solidFill>
                </w14:textFill>
              </w:rPr>
              <w:t>发现了目标尺度和形态自适应的拓扑同胚表征机理，提出了区域空间拓扑结构约束的几何特征学习与目标自适应解析方法，实现了多尺度、多方向和多形态目标的高效精准解析，显著提升了复杂场景下密集小目标、方向和形态任意目标解析能力。提出的算法被清华计图和阿里云集成，将多形态目标提取精度提升了8%以上。被国际知名学者评价为“新颖的方法，简洁且取得好结果”。</w:t>
            </w:r>
          </w:p>
          <w:p w14:paraId="3B56FA0F">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项目核心成果发表 Nature 子刊和IEEE TPAMI/TIP/TMI/TGRS 等汇刊论文3</w:t>
            </w:r>
            <w:r>
              <w:rPr>
                <w:rFonts w:ascii="黑体" w:hAnsi="黑体" w:eastAsia="黑体" w:cs="黑体"/>
                <w:color w:val="000000" w:themeColor="text1"/>
                <w:sz w:val="21"/>
                <w:szCs w:val="21"/>
                <w14:textFill>
                  <w14:solidFill>
                    <w14:schemeClr w14:val="tx1"/>
                  </w14:solidFill>
                </w14:textFill>
              </w:rPr>
              <w:t>0</w:t>
            </w:r>
            <w:r>
              <w:rPr>
                <w:rFonts w:hint="eastAsia" w:ascii="黑体" w:hAnsi="黑体" w:eastAsia="黑体" w:cs="黑体"/>
                <w:color w:val="000000" w:themeColor="text1"/>
                <w:sz w:val="21"/>
                <w:szCs w:val="21"/>
                <w14:textFill>
                  <w14:solidFill>
                    <w14:schemeClr w14:val="tx1"/>
                  </w14:solidFill>
                </w14:textFill>
              </w:rPr>
              <w:t>篇、CVPR/ICCV/ECCV 等顶会论文16篇，其中 Nature 子刊3篇、IEEE TPAMI 7篇。获 IEEE 汇刊最佳论文奖、PRICAI 2024最佳学生论文奖，CVPR和ECCV 等学术竞赛冠军。</w:t>
            </w:r>
          </w:p>
          <w:p w14:paraId="7CFB216D">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 xml:space="preserve">项目成果应用于北京航天飞行控制中心，中国载人航天数据中心、西安飞行自动控制研究所、华为、 泰康保险和阿里巴巴等单位的关键业务系统，研制的新冠肺炎 CT 影像智能辅助诊断系统，在最早部署于武汉抗疫第一 线，第一完成人向孙春兰副总理做了专题汇报并获高度评价，在国内外数十家医院规模化应用， 获厄瓜多尔副总统等国外领导人的公开致谢。 </w:t>
            </w:r>
          </w:p>
          <w:p w14:paraId="3355047C">
            <w:pPr>
              <w:spacing w:line="240" w:lineRule="exact"/>
              <w:ind w:firstLine="420" w:firstLineChars="200"/>
              <w:jc w:val="both"/>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项目5篇代表性论著分别发表在IEEE TPAMI（国际人工智能顶刊，影响因子18.6)、CVPR(国际计算机视觉顶会)、IEEE TIP（国际图像信号处理顶刊，影响因子13.7）、SCIS(国内信息科学顶刊，影响因子 7.6)，其中一篇论文入选ESI高被引论文，代表性论文被包括 27 位中国/欧美科学院院士和1</w:t>
            </w:r>
            <w:r>
              <w:rPr>
                <w:rFonts w:ascii="黑体" w:hAnsi="黑体" w:eastAsia="黑体" w:cs="黑体"/>
                <w:color w:val="000000" w:themeColor="text1"/>
                <w:sz w:val="21"/>
                <w:szCs w:val="21"/>
                <w14:textFill>
                  <w14:solidFill>
                    <w14:schemeClr w14:val="tx1"/>
                  </w14:solidFill>
                </w14:textFill>
              </w:rPr>
              <w:t>36</w:t>
            </w:r>
            <w:r>
              <w:rPr>
                <w:rFonts w:hint="eastAsia" w:ascii="黑体" w:hAnsi="黑体" w:eastAsia="黑体" w:cs="黑体"/>
                <w:color w:val="000000" w:themeColor="text1"/>
                <w:sz w:val="21"/>
                <w:szCs w:val="21"/>
                <w14:textFill>
                  <w14:solidFill>
                    <w14:schemeClr w14:val="tx1"/>
                  </w14:solidFill>
                </w14:textFill>
              </w:rPr>
              <w:t>位 IEEE/IAPR/ACM Fellow 等学者团队在IEEE TPAMI等期刊上正面评价，累计谷歌学术引用 2254 次、WOS 引用 1573次。</w:t>
            </w:r>
          </w:p>
        </w:tc>
      </w:tr>
      <w:tr w14:paraId="4EE9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702" w:type="dxa"/>
            <w:gridSpan w:val="2"/>
            <w:vAlign w:val="center"/>
          </w:tcPr>
          <w:p w14:paraId="7034F2B9">
            <w:pPr>
              <w:spacing w:line="280" w:lineRule="exact"/>
              <w:jc w:val="center"/>
              <w:rPr>
                <w:rFonts w:ascii="黑体" w:hAnsi="黑体" w:eastAsia="黑体" w:cs="黑体"/>
                <w:sz w:val="22"/>
              </w:rPr>
            </w:pPr>
            <w:r>
              <w:rPr>
                <w:rFonts w:hint="eastAsia" w:ascii="黑体" w:hAnsi="黑体" w:eastAsia="黑体" w:cs="黑体"/>
                <w:sz w:val="22"/>
              </w:rPr>
              <w:t>主要完成人</w:t>
            </w:r>
          </w:p>
          <w:p w14:paraId="34AE9BEA">
            <w:pPr>
              <w:spacing w:line="280" w:lineRule="exact"/>
              <w:jc w:val="center"/>
              <w:rPr>
                <w:rFonts w:ascii="黑体" w:hAnsi="黑体" w:eastAsia="黑体" w:cs="黑体"/>
                <w:sz w:val="22"/>
              </w:rPr>
            </w:pPr>
            <w:r>
              <w:rPr>
                <w:rFonts w:hint="eastAsia" w:ascii="黑体" w:hAnsi="黑体" w:eastAsia="黑体" w:cs="黑体"/>
                <w:sz w:val="22"/>
              </w:rPr>
              <w:t>（完成单位）</w:t>
            </w:r>
          </w:p>
        </w:tc>
        <w:tc>
          <w:tcPr>
            <w:tcW w:w="10904" w:type="dxa"/>
            <w:gridSpan w:val="9"/>
            <w:vAlign w:val="center"/>
          </w:tcPr>
          <w:p w14:paraId="7D7C48CC">
            <w:pPr>
              <w:spacing w:line="280" w:lineRule="exact"/>
              <w:jc w:val="center"/>
              <w:rPr>
                <w:rFonts w:ascii="黑体" w:hAnsi="黑体" w:eastAsia="黑体" w:cs="黑体"/>
                <w:sz w:val="22"/>
              </w:rPr>
            </w:pPr>
            <w:r>
              <w:rPr>
                <w:rFonts w:hint="eastAsia" w:ascii="黑体" w:hAnsi="黑体" w:eastAsia="黑体" w:cs="黑体"/>
                <w:sz w:val="22"/>
              </w:rPr>
              <w:t>许永超（武汉大学）、王中元（武汉大学）、庞超（武汉大学）、江奎（武汉大学）</w:t>
            </w:r>
          </w:p>
        </w:tc>
      </w:tr>
      <w:tr w14:paraId="6D72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606" w:type="dxa"/>
            <w:gridSpan w:val="11"/>
            <w:vAlign w:val="center"/>
          </w:tcPr>
          <w:p w14:paraId="55F684A4">
            <w:pPr>
              <w:pStyle w:val="7"/>
              <w:widowControl w:val="0"/>
              <w:adjustRightInd w:val="0"/>
              <w:spacing w:line="240" w:lineRule="exact"/>
              <w:jc w:val="center"/>
              <w:outlineLvl w:val="1"/>
              <w:rPr>
                <w:rFonts w:ascii="宋体" w:hAnsi="宋体" w:eastAsia="宋体" w:cs="宋体"/>
                <w:color w:val="000000"/>
                <w:sz w:val="21"/>
                <w:szCs w:val="28"/>
                <w:lang w:bidi="ar"/>
              </w:rPr>
            </w:pPr>
            <w:r>
              <w:rPr>
                <w:rFonts w:hint="eastAsia" w:ascii="黑体" w:hAnsi="黑体" w:eastAsia="黑体" w:cs="黑体"/>
                <w:color w:val="000000"/>
                <w:sz w:val="22"/>
                <w:lang w:bidi="ar"/>
              </w:rPr>
              <w:t>代表性论文（专著）目录</w:t>
            </w:r>
          </w:p>
        </w:tc>
      </w:tr>
      <w:tr w14:paraId="616C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665" w:type="dxa"/>
            <w:vAlign w:val="center"/>
          </w:tcPr>
          <w:p w14:paraId="4CD95D8B">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序号</w:t>
            </w:r>
          </w:p>
        </w:tc>
        <w:tc>
          <w:tcPr>
            <w:tcW w:w="2037" w:type="dxa"/>
            <w:vAlign w:val="center"/>
          </w:tcPr>
          <w:p w14:paraId="04F2C95E">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论文（专著）名称/刊名/作者</w:t>
            </w:r>
          </w:p>
        </w:tc>
        <w:tc>
          <w:tcPr>
            <w:tcW w:w="1679" w:type="dxa"/>
            <w:vAlign w:val="center"/>
          </w:tcPr>
          <w:p w14:paraId="65ADA5BB">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年卷页码</w:t>
            </w:r>
          </w:p>
          <w:p w14:paraId="1005E3F6">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（xx年xx卷xx页）</w:t>
            </w:r>
          </w:p>
        </w:tc>
        <w:tc>
          <w:tcPr>
            <w:tcW w:w="1200" w:type="dxa"/>
            <w:vAlign w:val="center"/>
          </w:tcPr>
          <w:p w14:paraId="51BC2C2C">
            <w:pPr>
              <w:pStyle w:val="7"/>
              <w:widowControl w:val="0"/>
              <w:adjustRightInd w:val="0"/>
              <w:spacing w:line="240" w:lineRule="exact"/>
              <w:jc w:val="center"/>
              <w:rPr>
                <w:rFonts w:ascii="黑体" w:hAnsi="黑体" w:eastAsia="黑体" w:cs="黑体"/>
                <w:color w:val="000000"/>
                <w:sz w:val="18"/>
                <w:szCs w:val="18"/>
                <w:lang w:bidi="ar"/>
              </w:rPr>
            </w:pPr>
            <w:r>
              <w:rPr>
                <w:rFonts w:hint="eastAsia" w:ascii="黑体" w:hAnsi="黑体" w:eastAsia="黑体" w:cs="黑体"/>
                <w:color w:val="000000"/>
                <w:sz w:val="18"/>
                <w:szCs w:val="18"/>
                <w:lang w:bidi="ar"/>
              </w:rPr>
              <w:t>发表时间</w:t>
            </w:r>
          </w:p>
          <w:p w14:paraId="2D986F70">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 年 月 日）</w:t>
            </w:r>
          </w:p>
        </w:tc>
        <w:tc>
          <w:tcPr>
            <w:tcW w:w="1140" w:type="dxa"/>
            <w:vAlign w:val="center"/>
          </w:tcPr>
          <w:p w14:paraId="059F639D">
            <w:pPr>
              <w:pStyle w:val="7"/>
              <w:widowControl w:val="0"/>
              <w:adjustRightInd w:val="0"/>
              <w:spacing w:line="240" w:lineRule="exact"/>
              <w:jc w:val="center"/>
              <w:rPr>
                <w:rFonts w:ascii="黑体" w:hAnsi="黑体" w:eastAsia="黑体" w:cs="黑体"/>
                <w:color w:val="000000"/>
                <w:sz w:val="18"/>
                <w:szCs w:val="18"/>
                <w:lang w:bidi="ar"/>
              </w:rPr>
            </w:pPr>
            <w:r>
              <w:rPr>
                <w:rFonts w:hint="eastAsia" w:ascii="黑体" w:hAnsi="黑体" w:eastAsia="黑体" w:cs="黑体"/>
                <w:color w:val="000000"/>
                <w:sz w:val="18"/>
                <w:szCs w:val="18"/>
                <w:lang w:bidi="ar"/>
              </w:rPr>
              <w:t>通讯作者</w:t>
            </w:r>
          </w:p>
          <w:p w14:paraId="4335D6D4">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（含共同）</w:t>
            </w:r>
          </w:p>
        </w:tc>
        <w:tc>
          <w:tcPr>
            <w:tcW w:w="1185" w:type="dxa"/>
            <w:vAlign w:val="center"/>
          </w:tcPr>
          <w:p w14:paraId="66A86760">
            <w:pPr>
              <w:pStyle w:val="7"/>
              <w:widowControl w:val="0"/>
              <w:adjustRightInd w:val="0"/>
              <w:spacing w:line="240" w:lineRule="exact"/>
              <w:jc w:val="center"/>
              <w:rPr>
                <w:rFonts w:ascii="黑体" w:hAnsi="黑体" w:eastAsia="黑体" w:cs="黑体"/>
                <w:color w:val="000000"/>
                <w:sz w:val="18"/>
                <w:szCs w:val="18"/>
                <w:lang w:bidi="ar"/>
              </w:rPr>
            </w:pPr>
            <w:r>
              <w:rPr>
                <w:rFonts w:hint="eastAsia" w:ascii="黑体" w:hAnsi="黑体" w:eastAsia="黑体" w:cs="黑体"/>
                <w:color w:val="000000"/>
                <w:sz w:val="18"/>
                <w:szCs w:val="18"/>
                <w:lang w:bidi="ar"/>
              </w:rPr>
              <w:t>第一作者</w:t>
            </w:r>
          </w:p>
          <w:p w14:paraId="6E5DE86A">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（含共同）</w:t>
            </w:r>
          </w:p>
        </w:tc>
        <w:tc>
          <w:tcPr>
            <w:tcW w:w="1185" w:type="dxa"/>
            <w:vAlign w:val="center"/>
          </w:tcPr>
          <w:p w14:paraId="11404A20">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国内作者</w:t>
            </w:r>
          </w:p>
        </w:tc>
        <w:tc>
          <w:tcPr>
            <w:tcW w:w="1095" w:type="dxa"/>
            <w:vAlign w:val="center"/>
          </w:tcPr>
          <w:p w14:paraId="32EAED46">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他引总次数</w:t>
            </w:r>
          </w:p>
        </w:tc>
        <w:tc>
          <w:tcPr>
            <w:tcW w:w="1245" w:type="dxa"/>
            <w:vAlign w:val="center"/>
          </w:tcPr>
          <w:p w14:paraId="7B524F62">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检索数据库</w:t>
            </w:r>
          </w:p>
        </w:tc>
        <w:tc>
          <w:tcPr>
            <w:tcW w:w="960" w:type="dxa"/>
            <w:vAlign w:val="center"/>
          </w:tcPr>
          <w:p w14:paraId="709D3ADA">
            <w:pPr>
              <w:spacing w:line="200" w:lineRule="exact"/>
              <w:jc w:val="center"/>
              <w:rPr>
                <w:rFonts w:ascii="黑体" w:hAnsi="黑体" w:eastAsia="黑体" w:cs="黑体"/>
                <w:sz w:val="18"/>
                <w:szCs w:val="18"/>
              </w:rPr>
            </w:pPr>
            <w:r>
              <w:rPr>
                <w:rFonts w:hint="eastAsia" w:ascii="黑体" w:hAnsi="黑体" w:eastAsia="黑体" w:cs="黑体"/>
                <w:sz w:val="18"/>
                <w:szCs w:val="18"/>
              </w:rPr>
              <w:t>论文署名单位是否包含国外单位</w:t>
            </w:r>
          </w:p>
        </w:tc>
        <w:tc>
          <w:tcPr>
            <w:tcW w:w="1215" w:type="dxa"/>
            <w:vAlign w:val="center"/>
          </w:tcPr>
          <w:p w14:paraId="6B320CAE">
            <w:pPr>
              <w:spacing w:line="200" w:lineRule="exact"/>
              <w:jc w:val="center"/>
              <w:rPr>
                <w:rFonts w:ascii="黑体" w:hAnsi="黑体" w:eastAsia="黑体" w:cs="黑体"/>
                <w:sz w:val="18"/>
                <w:szCs w:val="18"/>
              </w:rPr>
            </w:pPr>
            <w:r>
              <w:rPr>
                <w:rFonts w:hint="eastAsia" w:ascii="黑体" w:hAnsi="黑体" w:eastAsia="黑体" w:cs="黑体"/>
                <w:sz w:val="18"/>
                <w:szCs w:val="18"/>
              </w:rPr>
              <w:t>是否国内期刊，如是请填写CN号</w:t>
            </w:r>
          </w:p>
        </w:tc>
      </w:tr>
      <w:tr w14:paraId="0846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589D1771">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2037" w:type="dxa"/>
            <w:vAlign w:val="center"/>
          </w:tcPr>
          <w:p w14:paraId="399ABDE0">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Gliding vertex on the horizontal bounding box for multi-oriented object detection/ IEEE transactions on pattern analysis and machine intelligence/ Yongchao Xu, Mingtao Fu, Qimeng Wang, Yukang Wang, Kai Chen, Gui-Song Xia, Xiang Bai</w:t>
            </w:r>
          </w:p>
        </w:tc>
        <w:tc>
          <w:tcPr>
            <w:tcW w:w="1679" w:type="dxa"/>
            <w:vAlign w:val="center"/>
          </w:tcPr>
          <w:p w14:paraId="2B56A403">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2021年，Vol 43，1452-1459</w:t>
            </w:r>
          </w:p>
        </w:tc>
        <w:tc>
          <w:tcPr>
            <w:tcW w:w="1200" w:type="dxa"/>
            <w:vAlign w:val="center"/>
          </w:tcPr>
          <w:p w14:paraId="512F74C8">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2021年4月1日</w:t>
            </w:r>
          </w:p>
        </w:tc>
        <w:tc>
          <w:tcPr>
            <w:tcW w:w="1140" w:type="dxa"/>
            <w:vAlign w:val="center"/>
          </w:tcPr>
          <w:p w14:paraId="6EFA865B">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白翔</w:t>
            </w:r>
          </w:p>
        </w:tc>
        <w:tc>
          <w:tcPr>
            <w:tcW w:w="1185" w:type="dxa"/>
            <w:vAlign w:val="center"/>
          </w:tcPr>
          <w:p w14:paraId="1FB1487B">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许永超</w:t>
            </w:r>
          </w:p>
        </w:tc>
        <w:tc>
          <w:tcPr>
            <w:tcW w:w="1185" w:type="dxa"/>
            <w:vAlign w:val="center"/>
          </w:tcPr>
          <w:p w14:paraId="61D0B041">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许永超</w:t>
            </w:r>
          </w:p>
          <w:p w14:paraId="4A2F36BE">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符明韬</w:t>
            </w:r>
          </w:p>
          <w:p w14:paraId="44537962">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王启萌</w:t>
            </w:r>
          </w:p>
          <w:p w14:paraId="632038B6">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王裕康</w:t>
            </w:r>
          </w:p>
          <w:p w14:paraId="35BD61B3">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陈凯</w:t>
            </w:r>
          </w:p>
          <w:p w14:paraId="4A62F0ED">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夏桂松</w:t>
            </w:r>
          </w:p>
          <w:p w14:paraId="0D9923D7">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白翔</w:t>
            </w:r>
          </w:p>
        </w:tc>
        <w:tc>
          <w:tcPr>
            <w:tcW w:w="1095" w:type="dxa"/>
            <w:vAlign w:val="center"/>
          </w:tcPr>
          <w:p w14:paraId="4CA78B9E">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813</w:t>
            </w:r>
          </w:p>
        </w:tc>
        <w:tc>
          <w:tcPr>
            <w:tcW w:w="1245" w:type="dxa"/>
            <w:vAlign w:val="center"/>
          </w:tcPr>
          <w:p w14:paraId="59E442F3">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WOS</w:t>
            </w:r>
          </w:p>
        </w:tc>
        <w:tc>
          <w:tcPr>
            <w:tcW w:w="960" w:type="dxa"/>
            <w:vAlign w:val="center"/>
          </w:tcPr>
          <w:p w14:paraId="7A66678B">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否</w:t>
            </w:r>
          </w:p>
        </w:tc>
        <w:tc>
          <w:tcPr>
            <w:tcW w:w="1215" w:type="dxa"/>
            <w:vAlign w:val="center"/>
          </w:tcPr>
          <w:p w14:paraId="4171BD81">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否</w:t>
            </w:r>
          </w:p>
        </w:tc>
      </w:tr>
      <w:tr w14:paraId="5E79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4790DA94">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2</w:t>
            </w:r>
          </w:p>
        </w:tc>
        <w:tc>
          <w:tcPr>
            <w:tcW w:w="2037" w:type="dxa"/>
            <w:vAlign w:val="center"/>
          </w:tcPr>
          <w:p w14:paraId="5CD3EF3C">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Multi-scale progressive fusion network for single image deraining/IEEE Conference on Computer Vision and Pattern Recognition /Kui Jiang, Zhongyuan Wang, Peng Yi, Chen Chen, Baojin Huang, Yimin Luo, Jiayi Ma, Junjun Jiang</w:t>
            </w:r>
          </w:p>
        </w:tc>
        <w:tc>
          <w:tcPr>
            <w:tcW w:w="1679" w:type="dxa"/>
            <w:vAlign w:val="center"/>
          </w:tcPr>
          <w:p w14:paraId="7771D71D">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2020年，8346-8355</w:t>
            </w:r>
          </w:p>
        </w:tc>
        <w:tc>
          <w:tcPr>
            <w:tcW w:w="1200" w:type="dxa"/>
            <w:vAlign w:val="center"/>
          </w:tcPr>
          <w:p w14:paraId="0C2B9C83">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2020年6月</w:t>
            </w:r>
          </w:p>
        </w:tc>
        <w:tc>
          <w:tcPr>
            <w:tcW w:w="1140" w:type="dxa"/>
            <w:vAlign w:val="center"/>
          </w:tcPr>
          <w:p w14:paraId="100F43A6">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王中元，陈宸</w:t>
            </w:r>
          </w:p>
        </w:tc>
        <w:tc>
          <w:tcPr>
            <w:tcW w:w="1185" w:type="dxa"/>
            <w:vAlign w:val="center"/>
          </w:tcPr>
          <w:p w14:paraId="68CCE2DA">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江奎</w:t>
            </w:r>
          </w:p>
        </w:tc>
        <w:tc>
          <w:tcPr>
            <w:tcW w:w="1185" w:type="dxa"/>
            <w:vAlign w:val="center"/>
          </w:tcPr>
          <w:p w14:paraId="6661E6C4">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江奎</w:t>
            </w:r>
          </w:p>
          <w:p w14:paraId="0D90860C">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王中元</w:t>
            </w:r>
          </w:p>
          <w:p w14:paraId="1FB81368">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易鹏</w:t>
            </w:r>
          </w:p>
          <w:p w14:paraId="4093D9A1">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陈宸</w:t>
            </w:r>
          </w:p>
          <w:p w14:paraId="27723F45">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黄宝金</w:t>
            </w:r>
          </w:p>
          <w:p w14:paraId="6995C6EC">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马佳义</w:t>
            </w:r>
          </w:p>
          <w:p w14:paraId="3BAC5426">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江俊君</w:t>
            </w:r>
          </w:p>
        </w:tc>
        <w:tc>
          <w:tcPr>
            <w:tcW w:w="1095" w:type="dxa"/>
            <w:vAlign w:val="center"/>
          </w:tcPr>
          <w:p w14:paraId="66DAC6A5">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666</w:t>
            </w:r>
          </w:p>
        </w:tc>
        <w:tc>
          <w:tcPr>
            <w:tcW w:w="1245" w:type="dxa"/>
            <w:vAlign w:val="center"/>
          </w:tcPr>
          <w:p w14:paraId="7E8599A5">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WOS</w:t>
            </w:r>
          </w:p>
        </w:tc>
        <w:tc>
          <w:tcPr>
            <w:tcW w:w="960" w:type="dxa"/>
            <w:vAlign w:val="center"/>
          </w:tcPr>
          <w:p w14:paraId="7CBB3298">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是</w:t>
            </w:r>
          </w:p>
        </w:tc>
        <w:tc>
          <w:tcPr>
            <w:tcW w:w="1215" w:type="dxa"/>
            <w:vAlign w:val="center"/>
          </w:tcPr>
          <w:p w14:paraId="7D51D545">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否</w:t>
            </w:r>
          </w:p>
        </w:tc>
      </w:tr>
      <w:tr w14:paraId="4471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32F58848">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3</w:t>
            </w:r>
          </w:p>
        </w:tc>
        <w:tc>
          <w:tcPr>
            <w:tcW w:w="2037" w:type="dxa"/>
            <w:vAlign w:val="center"/>
          </w:tcPr>
          <w:p w14:paraId="28F2847C">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Local Intensity Order Transformation for Robust Curvilinear Object Segmentation/</w:t>
            </w:r>
            <w:r>
              <w:t xml:space="preserve"> </w:t>
            </w:r>
            <w:r>
              <w:rPr>
                <w:rFonts w:ascii="宋体" w:hAnsi="宋体" w:eastAsia="宋体" w:cs="宋体"/>
                <w:color w:val="000000"/>
                <w:sz w:val="18"/>
                <w:szCs w:val="18"/>
              </w:rPr>
              <w:t>Tianyi Shi, Nicolas Boutry, Yongchao Xu,  Thierry Géraud</w:t>
            </w:r>
          </w:p>
        </w:tc>
        <w:tc>
          <w:tcPr>
            <w:tcW w:w="1679" w:type="dxa"/>
            <w:vAlign w:val="center"/>
          </w:tcPr>
          <w:p w14:paraId="3CEA44F6">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2022</w:t>
            </w:r>
            <w:r>
              <w:rPr>
                <w:rFonts w:hint="eastAsia" w:ascii="宋体" w:hAnsi="宋体" w:eastAsia="宋体" w:cs="宋体"/>
                <w:color w:val="000000"/>
                <w:sz w:val="18"/>
                <w:szCs w:val="18"/>
              </w:rPr>
              <w:t>年，Vol</w:t>
            </w:r>
            <w:r>
              <w:rPr>
                <w:rFonts w:ascii="宋体" w:hAnsi="宋体" w:eastAsia="宋体" w:cs="宋体"/>
                <w:color w:val="000000"/>
                <w:sz w:val="18"/>
                <w:szCs w:val="18"/>
              </w:rPr>
              <w:t xml:space="preserve"> 31</w:t>
            </w:r>
          </w:p>
        </w:tc>
        <w:tc>
          <w:tcPr>
            <w:tcW w:w="1200" w:type="dxa"/>
            <w:vAlign w:val="center"/>
          </w:tcPr>
          <w:p w14:paraId="5A7539CD">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2022</w:t>
            </w:r>
            <w:r>
              <w:rPr>
                <w:rFonts w:hint="eastAsia" w:ascii="宋体" w:hAnsi="宋体" w:eastAsia="宋体" w:cs="宋体"/>
                <w:color w:val="000000"/>
                <w:sz w:val="18"/>
                <w:szCs w:val="18"/>
              </w:rPr>
              <w:t xml:space="preserve">年3与 </w:t>
            </w:r>
            <w:r>
              <w:rPr>
                <w:rFonts w:ascii="宋体" w:hAnsi="宋体" w:eastAsia="宋体" w:cs="宋体"/>
                <w:color w:val="000000"/>
                <w:sz w:val="18"/>
                <w:szCs w:val="18"/>
              </w:rPr>
              <w:t>11</w:t>
            </w:r>
            <w:r>
              <w:rPr>
                <w:rFonts w:hint="eastAsia" w:ascii="宋体" w:hAnsi="宋体" w:eastAsia="宋体" w:cs="宋体"/>
                <w:color w:val="000000"/>
                <w:sz w:val="18"/>
                <w:szCs w:val="18"/>
              </w:rPr>
              <w:t>日</w:t>
            </w:r>
          </w:p>
        </w:tc>
        <w:tc>
          <w:tcPr>
            <w:tcW w:w="1140" w:type="dxa"/>
            <w:vAlign w:val="center"/>
          </w:tcPr>
          <w:p w14:paraId="792D8DB7">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许永超</w:t>
            </w:r>
          </w:p>
        </w:tc>
        <w:tc>
          <w:tcPr>
            <w:tcW w:w="1185" w:type="dxa"/>
            <w:vAlign w:val="center"/>
          </w:tcPr>
          <w:p w14:paraId="0C2E0F0F">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史天意</w:t>
            </w:r>
          </w:p>
        </w:tc>
        <w:tc>
          <w:tcPr>
            <w:tcW w:w="1185" w:type="dxa"/>
            <w:vAlign w:val="center"/>
          </w:tcPr>
          <w:p w14:paraId="2DDCE084">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史天意</w:t>
            </w:r>
          </w:p>
          <w:p w14:paraId="47D8D53B">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许永超</w:t>
            </w:r>
          </w:p>
        </w:tc>
        <w:tc>
          <w:tcPr>
            <w:tcW w:w="1095" w:type="dxa"/>
            <w:vAlign w:val="center"/>
          </w:tcPr>
          <w:p w14:paraId="7840B029">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53</w:t>
            </w:r>
          </w:p>
        </w:tc>
        <w:tc>
          <w:tcPr>
            <w:tcW w:w="1245" w:type="dxa"/>
            <w:vAlign w:val="center"/>
          </w:tcPr>
          <w:p w14:paraId="0B4B5ED5">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WOS</w:t>
            </w:r>
          </w:p>
        </w:tc>
        <w:tc>
          <w:tcPr>
            <w:tcW w:w="960" w:type="dxa"/>
            <w:vAlign w:val="center"/>
          </w:tcPr>
          <w:p w14:paraId="1B80AD7F">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是</w:t>
            </w:r>
          </w:p>
        </w:tc>
        <w:tc>
          <w:tcPr>
            <w:tcW w:w="1215" w:type="dxa"/>
            <w:vAlign w:val="center"/>
          </w:tcPr>
          <w:p w14:paraId="3BD70A1A">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否</w:t>
            </w:r>
          </w:p>
        </w:tc>
      </w:tr>
      <w:tr w14:paraId="2759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5C7A72BC">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4</w:t>
            </w:r>
          </w:p>
        </w:tc>
        <w:tc>
          <w:tcPr>
            <w:tcW w:w="2037" w:type="dxa"/>
            <w:vAlign w:val="center"/>
          </w:tcPr>
          <w:p w14:paraId="249D4D0E">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Detecting building changes with off-nadir aerial images/Science China Information Sciences/Chao Pang, Jiang Wu, Jian Ding, Can Song &amp; Gui-Song Xia</w:t>
            </w:r>
          </w:p>
        </w:tc>
        <w:tc>
          <w:tcPr>
            <w:tcW w:w="1679" w:type="dxa"/>
            <w:vAlign w:val="center"/>
          </w:tcPr>
          <w:p w14:paraId="2D7DD91A">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2023年，vol 66</w:t>
            </w:r>
            <w:r>
              <w:rPr>
                <w:rFonts w:ascii="宋体" w:hAnsi="宋体" w:eastAsia="宋体" w:cs="宋体"/>
                <w:color w:val="000000"/>
                <w:sz w:val="18"/>
                <w:szCs w:val="18"/>
              </w:rPr>
              <w:t>,</w:t>
            </w:r>
            <w:r>
              <w:t xml:space="preserve"> </w:t>
            </w:r>
            <w:r>
              <w:rPr>
                <w:rFonts w:ascii="宋体" w:hAnsi="宋体" w:eastAsia="宋体" w:cs="宋体"/>
                <w:color w:val="000000"/>
                <w:sz w:val="18"/>
                <w:szCs w:val="18"/>
              </w:rPr>
              <w:t>140306</w:t>
            </w:r>
          </w:p>
        </w:tc>
        <w:tc>
          <w:tcPr>
            <w:tcW w:w="1200" w:type="dxa"/>
            <w:vAlign w:val="center"/>
          </w:tcPr>
          <w:p w14:paraId="11B5935B">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2023年3月27日</w:t>
            </w:r>
          </w:p>
        </w:tc>
        <w:tc>
          <w:tcPr>
            <w:tcW w:w="1140" w:type="dxa"/>
            <w:vAlign w:val="center"/>
          </w:tcPr>
          <w:p w14:paraId="2D3B2D90">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夏桂松</w:t>
            </w:r>
          </w:p>
        </w:tc>
        <w:tc>
          <w:tcPr>
            <w:tcW w:w="1185" w:type="dxa"/>
            <w:vAlign w:val="center"/>
          </w:tcPr>
          <w:p w14:paraId="1AFB88AB">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庞超，吴江</w:t>
            </w:r>
          </w:p>
        </w:tc>
        <w:tc>
          <w:tcPr>
            <w:tcW w:w="1185" w:type="dxa"/>
            <w:vAlign w:val="center"/>
          </w:tcPr>
          <w:p w14:paraId="174680CD">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庞超</w:t>
            </w:r>
          </w:p>
          <w:p w14:paraId="32BBAC45">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吴江</w:t>
            </w:r>
          </w:p>
          <w:p w14:paraId="1D037240">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丁健</w:t>
            </w:r>
          </w:p>
          <w:p w14:paraId="71931CD8">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宋灿</w:t>
            </w:r>
          </w:p>
          <w:p w14:paraId="3828F780">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夏桂松</w:t>
            </w:r>
          </w:p>
        </w:tc>
        <w:tc>
          <w:tcPr>
            <w:tcW w:w="1095" w:type="dxa"/>
            <w:vAlign w:val="center"/>
          </w:tcPr>
          <w:p w14:paraId="1ECA5F82">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28</w:t>
            </w:r>
          </w:p>
        </w:tc>
        <w:tc>
          <w:tcPr>
            <w:tcW w:w="1245" w:type="dxa"/>
            <w:vAlign w:val="center"/>
          </w:tcPr>
          <w:p w14:paraId="54966401">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WOS</w:t>
            </w:r>
          </w:p>
        </w:tc>
        <w:tc>
          <w:tcPr>
            <w:tcW w:w="960" w:type="dxa"/>
            <w:vAlign w:val="center"/>
          </w:tcPr>
          <w:p w14:paraId="5A61A532">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否</w:t>
            </w:r>
          </w:p>
        </w:tc>
        <w:tc>
          <w:tcPr>
            <w:tcW w:w="1215" w:type="dxa"/>
            <w:vAlign w:val="center"/>
          </w:tcPr>
          <w:p w14:paraId="06AFA8AA">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11-5847/TP</w:t>
            </w:r>
          </w:p>
        </w:tc>
      </w:tr>
      <w:tr w14:paraId="4CF0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52A58AF2">
            <w:pPr>
              <w:pStyle w:val="7"/>
              <w:widowControl w:val="0"/>
              <w:adjustRightInd w:val="0"/>
              <w:spacing w:line="240" w:lineRule="exact"/>
              <w:jc w:val="center"/>
              <w:outlineLvl w:val="1"/>
              <w:rPr>
                <w:rFonts w:ascii="宋体" w:hAnsi="宋体" w:eastAsia="宋体" w:cs="宋体"/>
                <w:color w:val="000000"/>
                <w:sz w:val="18"/>
                <w:szCs w:val="18"/>
                <w:lang w:bidi="ar"/>
              </w:rPr>
            </w:pPr>
            <w:r>
              <w:rPr>
                <w:rFonts w:ascii="宋体" w:hAnsi="宋体" w:eastAsia="宋体" w:cs="宋体"/>
                <w:color w:val="000000"/>
                <w:sz w:val="18"/>
                <w:szCs w:val="18"/>
                <w:lang w:bidi="ar"/>
              </w:rPr>
              <w:t>5</w:t>
            </w:r>
          </w:p>
        </w:tc>
        <w:tc>
          <w:tcPr>
            <w:tcW w:w="2037" w:type="dxa"/>
            <w:vAlign w:val="center"/>
          </w:tcPr>
          <w:p w14:paraId="5EFFE7CE">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Feature context learning for human parsing/ Science China Information Sciences/ Tengteng Huang, Yongchao Xu, Song Bai, Yongpan Wang, Xiang Bai</w:t>
            </w:r>
          </w:p>
        </w:tc>
        <w:tc>
          <w:tcPr>
            <w:tcW w:w="1679" w:type="dxa"/>
            <w:vAlign w:val="center"/>
          </w:tcPr>
          <w:p w14:paraId="4AC063CD">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2019年，vol 62，220101</w:t>
            </w:r>
          </w:p>
        </w:tc>
        <w:tc>
          <w:tcPr>
            <w:tcW w:w="1200" w:type="dxa"/>
            <w:vAlign w:val="center"/>
          </w:tcPr>
          <w:p w14:paraId="66C6C672">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2019年11月11日</w:t>
            </w:r>
          </w:p>
        </w:tc>
        <w:tc>
          <w:tcPr>
            <w:tcW w:w="1140" w:type="dxa"/>
            <w:vAlign w:val="center"/>
          </w:tcPr>
          <w:p w14:paraId="34C663D8">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许永超</w:t>
            </w:r>
          </w:p>
        </w:tc>
        <w:tc>
          <w:tcPr>
            <w:tcW w:w="1185" w:type="dxa"/>
            <w:vAlign w:val="center"/>
          </w:tcPr>
          <w:p w14:paraId="2EE4BAEA">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黄腾腾</w:t>
            </w:r>
          </w:p>
        </w:tc>
        <w:tc>
          <w:tcPr>
            <w:tcW w:w="1185" w:type="dxa"/>
            <w:vAlign w:val="center"/>
          </w:tcPr>
          <w:p w14:paraId="06608376">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黄腾腾</w:t>
            </w:r>
          </w:p>
          <w:p w14:paraId="10F5D9CD">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许永超</w:t>
            </w:r>
          </w:p>
          <w:p w14:paraId="463C5A1C">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柏松</w:t>
            </w:r>
          </w:p>
          <w:p w14:paraId="3ED1B0F8">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王永攀</w:t>
            </w:r>
          </w:p>
          <w:p w14:paraId="49C79DF3">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白翔</w:t>
            </w:r>
          </w:p>
        </w:tc>
        <w:tc>
          <w:tcPr>
            <w:tcW w:w="1095" w:type="dxa"/>
            <w:vAlign w:val="center"/>
          </w:tcPr>
          <w:p w14:paraId="15389393">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13</w:t>
            </w:r>
          </w:p>
        </w:tc>
        <w:tc>
          <w:tcPr>
            <w:tcW w:w="1245" w:type="dxa"/>
            <w:vAlign w:val="center"/>
          </w:tcPr>
          <w:p w14:paraId="16DA541F">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WOS</w:t>
            </w:r>
          </w:p>
        </w:tc>
        <w:tc>
          <w:tcPr>
            <w:tcW w:w="960" w:type="dxa"/>
            <w:vAlign w:val="center"/>
          </w:tcPr>
          <w:p w14:paraId="2B4DEAEC">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rPr>
              <w:t>否</w:t>
            </w:r>
          </w:p>
        </w:tc>
        <w:tc>
          <w:tcPr>
            <w:tcW w:w="1215" w:type="dxa"/>
            <w:vAlign w:val="center"/>
          </w:tcPr>
          <w:p w14:paraId="418BDF09">
            <w:pPr>
              <w:pStyle w:val="7"/>
              <w:widowControl w:val="0"/>
              <w:adjustRightInd w:val="0"/>
              <w:spacing w:line="240" w:lineRule="exact"/>
              <w:jc w:val="center"/>
              <w:outlineLvl w:val="1"/>
              <w:rPr>
                <w:rFonts w:ascii="宋体" w:hAnsi="宋体" w:eastAsia="宋体" w:cs="宋体"/>
                <w:color w:val="000000"/>
                <w:sz w:val="18"/>
                <w:szCs w:val="18"/>
              </w:rPr>
            </w:pPr>
            <w:r>
              <w:rPr>
                <w:rFonts w:ascii="宋体" w:hAnsi="宋体" w:eastAsia="宋体" w:cs="宋体"/>
                <w:color w:val="000000"/>
                <w:sz w:val="18"/>
                <w:szCs w:val="18"/>
              </w:rPr>
              <w:t>11-5847/TP</w:t>
            </w:r>
          </w:p>
        </w:tc>
      </w:tr>
    </w:tbl>
    <w:p w14:paraId="19994345">
      <w:pPr>
        <w:spacing w:line="20" w:lineRule="atLeast"/>
        <w:rPr>
          <w:b/>
          <w:sz w:val="21"/>
          <w:szCs w:val="21"/>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134" w:header="57" w:footer="5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5592D5-ECDB-4A7C-BE5C-C5C7459726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D04DDA3D-0D12-40AF-844A-3AE2FD3E8DA7}"/>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502A">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8E56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D90F8">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4D05">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18C8D">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B59B">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jMTU4ZTNiZDhlYWQwMDJjMmU3YzIyN2I5MDdiY2MifQ=="/>
  </w:docVars>
  <w:rsids>
    <w:rsidRoot w:val="00CC1191"/>
    <w:rsid w:val="00014793"/>
    <w:rsid w:val="00031CE0"/>
    <w:rsid w:val="000C7F6B"/>
    <w:rsid w:val="00110654"/>
    <w:rsid w:val="001140EF"/>
    <w:rsid w:val="00124973"/>
    <w:rsid w:val="0017059E"/>
    <w:rsid w:val="001B472D"/>
    <w:rsid w:val="001C156A"/>
    <w:rsid w:val="0027745E"/>
    <w:rsid w:val="002867F9"/>
    <w:rsid w:val="00287332"/>
    <w:rsid w:val="002B021D"/>
    <w:rsid w:val="002C0649"/>
    <w:rsid w:val="002C4417"/>
    <w:rsid w:val="002C462F"/>
    <w:rsid w:val="003B6016"/>
    <w:rsid w:val="00417AF2"/>
    <w:rsid w:val="00421DF8"/>
    <w:rsid w:val="00476EF0"/>
    <w:rsid w:val="00491D95"/>
    <w:rsid w:val="004B11AC"/>
    <w:rsid w:val="004D1208"/>
    <w:rsid w:val="00587D24"/>
    <w:rsid w:val="005D0A35"/>
    <w:rsid w:val="00604D67"/>
    <w:rsid w:val="0062759C"/>
    <w:rsid w:val="00646ECD"/>
    <w:rsid w:val="00675FEA"/>
    <w:rsid w:val="006A0F11"/>
    <w:rsid w:val="006A2B72"/>
    <w:rsid w:val="007321E7"/>
    <w:rsid w:val="007419A3"/>
    <w:rsid w:val="007462CD"/>
    <w:rsid w:val="00766F0E"/>
    <w:rsid w:val="00821D89"/>
    <w:rsid w:val="008518A6"/>
    <w:rsid w:val="008F0234"/>
    <w:rsid w:val="00953187"/>
    <w:rsid w:val="0096259A"/>
    <w:rsid w:val="009D3FAC"/>
    <w:rsid w:val="009F08CF"/>
    <w:rsid w:val="00A64BC1"/>
    <w:rsid w:val="00A721D4"/>
    <w:rsid w:val="00AB0DA4"/>
    <w:rsid w:val="00AC5A9E"/>
    <w:rsid w:val="00B125CD"/>
    <w:rsid w:val="00B3345F"/>
    <w:rsid w:val="00B60543"/>
    <w:rsid w:val="00B84FA2"/>
    <w:rsid w:val="00BF39D0"/>
    <w:rsid w:val="00C73532"/>
    <w:rsid w:val="00C77C68"/>
    <w:rsid w:val="00CA661D"/>
    <w:rsid w:val="00CC1191"/>
    <w:rsid w:val="00CF02EF"/>
    <w:rsid w:val="00D1337D"/>
    <w:rsid w:val="00D6683F"/>
    <w:rsid w:val="00D953D1"/>
    <w:rsid w:val="00E02738"/>
    <w:rsid w:val="00E07757"/>
    <w:rsid w:val="00E9146D"/>
    <w:rsid w:val="00E939F0"/>
    <w:rsid w:val="00EC3D70"/>
    <w:rsid w:val="00F175AA"/>
    <w:rsid w:val="06E14E4D"/>
    <w:rsid w:val="101E5B5C"/>
    <w:rsid w:val="10F92125"/>
    <w:rsid w:val="11717F0E"/>
    <w:rsid w:val="15051099"/>
    <w:rsid w:val="16C9354B"/>
    <w:rsid w:val="16E82A20"/>
    <w:rsid w:val="19114F77"/>
    <w:rsid w:val="1D536E88"/>
    <w:rsid w:val="1E0D5CDA"/>
    <w:rsid w:val="1E94104E"/>
    <w:rsid w:val="1F903A0F"/>
    <w:rsid w:val="227E6E5B"/>
    <w:rsid w:val="283748D1"/>
    <w:rsid w:val="2B992461"/>
    <w:rsid w:val="2D3319B5"/>
    <w:rsid w:val="2F9257C7"/>
    <w:rsid w:val="33DA14EB"/>
    <w:rsid w:val="39B135B1"/>
    <w:rsid w:val="3C1655D8"/>
    <w:rsid w:val="3CAF5C0A"/>
    <w:rsid w:val="3DDD580C"/>
    <w:rsid w:val="3E6447D3"/>
    <w:rsid w:val="3F6C1B91"/>
    <w:rsid w:val="3FE47979"/>
    <w:rsid w:val="41A1768C"/>
    <w:rsid w:val="420B32C6"/>
    <w:rsid w:val="42582E81"/>
    <w:rsid w:val="425D3A13"/>
    <w:rsid w:val="44476FEC"/>
    <w:rsid w:val="467C00D5"/>
    <w:rsid w:val="467D7A4E"/>
    <w:rsid w:val="494644B1"/>
    <w:rsid w:val="4AEF0886"/>
    <w:rsid w:val="4C5D25D8"/>
    <w:rsid w:val="55CD3065"/>
    <w:rsid w:val="570A5B66"/>
    <w:rsid w:val="591C7D2C"/>
    <w:rsid w:val="5B087111"/>
    <w:rsid w:val="5CA02A22"/>
    <w:rsid w:val="5F7928C3"/>
    <w:rsid w:val="603B57FF"/>
    <w:rsid w:val="607C7302"/>
    <w:rsid w:val="63B8633D"/>
    <w:rsid w:val="67271682"/>
    <w:rsid w:val="6AE04094"/>
    <w:rsid w:val="6D921628"/>
    <w:rsid w:val="712E50BB"/>
    <w:rsid w:val="73822F68"/>
    <w:rsid w:val="74576528"/>
    <w:rsid w:val="77B329AB"/>
    <w:rsid w:val="790849A2"/>
    <w:rsid w:val="7F215A31"/>
    <w:rsid w:val="7F48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560" w:lineRule="exact"/>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3"/>
    <w:autoRedefine/>
    <w:qFormat/>
    <w:uiPriority w:val="9"/>
    <w:pPr>
      <w:keepNext/>
      <w:keepLines/>
      <w:jc w:val="center"/>
      <w:outlineLvl w:val="0"/>
    </w:pPr>
    <w:rPr>
      <w:rFonts w:eastAsia="方正小标宋简体"/>
      <w:bCs/>
      <w:kern w:val="44"/>
      <w:sz w:val="44"/>
      <w:szCs w:val="44"/>
    </w:rPr>
  </w:style>
  <w:style w:type="paragraph" w:styleId="3">
    <w:name w:val="heading 2"/>
    <w:basedOn w:val="1"/>
    <w:next w:val="1"/>
    <w:link w:val="14"/>
    <w:autoRedefine/>
    <w:unhideWhenUsed/>
    <w:qFormat/>
    <w:uiPriority w:val="9"/>
    <w:pPr>
      <w:keepNext/>
      <w:keepLines/>
      <w:ind w:firstLine="641"/>
      <w:outlineLvl w:val="1"/>
    </w:pPr>
    <w:rPr>
      <w:rFonts w:eastAsia="黑体" w:asciiTheme="majorHAnsi" w:hAnsiTheme="majorHAnsi" w:cstheme="majorBidi"/>
      <w:bCs/>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link w:val="15"/>
    <w:autoRedefine/>
    <w:unhideWhenUsed/>
    <w:qFormat/>
    <w:uiPriority w:val="99"/>
    <w:pPr>
      <w:widowControl w:val="0"/>
      <w:spacing w:line="360" w:lineRule="auto"/>
      <w:ind w:firstLine="480" w:firstLineChars="200"/>
      <w:jc w:val="both"/>
    </w:pPr>
    <w:rPr>
      <w:rFonts w:hint="eastAsia" w:ascii="仿宋_GB2312" w:eastAsia="宋体" w:cs="Times New Roman"/>
      <w:sz w:val="24"/>
      <w:szCs w:val="20"/>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pPr>
    <w:rPr>
      <w:sz w:val="18"/>
      <w:szCs w:val="18"/>
    </w:rPr>
  </w:style>
  <w:style w:type="paragraph" w:styleId="7">
    <w:name w:val="Normal (Web)"/>
    <w:basedOn w:val="1"/>
    <w:autoRedefine/>
    <w:unhideWhenUsed/>
    <w:qFormat/>
    <w:uiPriority w:val="99"/>
    <w:rPr>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autoRedefine/>
    <w:qFormat/>
    <w:uiPriority w:val="99"/>
    <w:rPr>
      <w:sz w:val="18"/>
      <w:szCs w:val="18"/>
    </w:rPr>
  </w:style>
  <w:style w:type="character" w:customStyle="1" w:styleId="12">
    <w:name w:val="页脚 字符"/>
    <w:basedOn w:val="10"/>
    <w:link w:val="5"/>
    <w:autoRedefine/>
    <w:qFormat/>
    <w:uiPriority w:val="99"/>
    <w:rPr>
      <w:sz w:val="18"/>
      <w:szCs w:val="18"/>
    </w:rPr>
  </w:style>
  <w:style w:type="character" w:customStyle="1" w:styleId="13">
    <w:name w:val="标题 1 字符"/>
    <w:basedOn w:val="10"/>
    <w:link w:val="2"/>
    <w:autoRedefine/>
    <w:qFormat/>
    <w:uiPriority w:val="9"/>
    <w:rPr>
      <w:rFonts w:eastAsia="方正小标宋简体"/>
      <w:bCs/>
      <w:kern w:val="44"/>
      <w:sz w:val="44"/>
      <w:szCs w:val="44"/>
    </w:rPr>
  </w:style>
  <w:style w:type="character" w:customStyle="1" w:styleId="14">
    <w:name w:val="标题 2 字符"/>
    <w:basedOn w:val="10"/>
    <w:link w:val="3"/>
    <w:autoRedefine/>
    <w:qFormat/>
    <w:uiPriority w:val="9"/>
    <w:rPr>
      <w:rFonts w:eastAsia="黑体" w:asciiTheme="majorHAnsi" w:hAnsiTheme="majorHAnsi" w:cstheme="majorBidi"/>
      <w:bCs/>
      <w:szCs w:val="32"/>
    </w:rPr>
  </w:style>
  <w:style w:type="character" w:customStyle="1" w:styleId="15">
    <w:name w:val="纯文本 字符"/>
    <w:basedOn w:val="10"/>
    <w:link w:val="4"/>
    <w:autoRedefine/>
    <w:qFormat/>
    <w:uiPriority w:val="0"/>
    <w:rPr>
      <w:rFonts w:hint="eastAsia" w:ascii="仿宋_GB2312" w:eastAsia="仿宋_GB2312" w:cs="仿宋_GB2312"/>
      <w:kern w:val="2"/>
      <w:sz w:val="24"/>
    </w:rPr>
  </w:style>
  <w:style w:type="paragraph" w:customStyle="1" w:styleId="16">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2475</Words>
  <Characters>3484</Characters>
  <Lines>61</Lines>
  <Paragraphs>27</Paragraphs>
  <TotalTime>24</TotalTime>
  <ScaleCrop>false</ScaleCrop>
  <LinksUpToDate>false</LinksUpToDate>
  <CharactersWithSpaces>3672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2026-03-18T02:59:00Z</dcterms:created>
  <dc:creator>李昕然</dc:creator>
  <cp:lastModifiedBy>L ttttong.</cp:lastModifiedBy>
  <cp:lastPrinted>2019-12-03T02:10:00Z</cp:lastPrinted>
  <dcterms:modified xsi:type="dcterms:W3CDTF">2026-03-21T02:43:22Z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4356E3ECFCFA420CB4822DEFAB7B9CCE_13</vt:lpwstr>
  </property>
  <property fmtid="{D5CDD505-2E9C-101B-9397-08002B2CF9AE}" pid="4" name="KSOTemplateDocerSaveRecord">
    <vt:lpwstr>eyJoZGlkIjoiMTFjMTU4ZTNiZDhlYWQwMDJjMmU3YzIyN2I5MDdiY2MiLCJ1c2VySWQiOiI1MzM4ODAzNTMifQ==</vt:lpwstr>
  </property>
</Properties>
</file>